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9A" w:rsidRDefault="0030489A">
      <w:pPr>
        <w:pStyle w:val="ConsPlusNormal"/>
        <w:jc w:val="right"/>
        <w:outlineLvl w:val="0"/>
      </w:pPr>
      <w:r>
        <w:t>Приложение N 24</w:t>
      </w:r>
    </w:p>
    <w:p w:rsidR="0030489A" w:rsidRDefault="0030489A">
      <w:pPr>
        <w:pStyle w:val="ConsPlusNormal"/>
        <w:jc w:val="right"/>
      </w:pPr>
      <w:r>
        <w:t>к государственной программе</w:t>
      </w:r>
    </w:p>
    <w:p w:rsidR="0030489A" w:rsidRDefault="0030489A">
      <w:pPr>
        <w:pStyle w:val="ConsPlusNormal"/>
        <w:jc w:val="right"/>
      </w:pPr>
      <w:r>
        <w:t>Свердловской области "Развитие культуры</w:t>
      </w:r>
    </w:p>
    <w:p w:rsidR="0030489A" w:rsidRDefault="0030489A">
      <w:pPr>
        <w:pStyle w:val="ConsPlusNormal"/>
        <w:jc w:val="right"/>
      </w:pPr>
      <w:r>
        <w:t>в Свердловской области до 2027 года"</w:t>
      </w:r>
    </w:p>
    <w:p w:rsidR="0030489A" w:rsidRDefault="0030489A">
      <w:pPr>
        <w:pStyle w:val="ConsPlusNormal"/>
      </w:pPr>
    </w:p>
    <w:p w:rsidR="0030489A" w:rsidRDefault="0030489A">
      <w:pPr>
        <w:pStyle w:val="ConsPlusTitle"/>
        <w:jc w:val="center"/>
      </w:pPr>
      <w:r>
        <w:t>ПОРЯДОК</w:t>
      </w:r>
    </w:p>
    <w:p w:rsidR="0030489A" w:rsidRDefault="0030489A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30489A" w:rsidRDefault="0030489A">
      <w:pPr>
        <w:pStyle w:val="ConsPlusTitle"/>
        <w:jc w:val="center"/>
      </w:pPr>
      <w:r>
        <w:t>БЮДЖЕТА БЮДЖЕТАМ МУНИЦИПАЛЬНЫХ ОБРАЗОВАНИЙ, РАСПОЛОЖЕННЫХ</w:t>
      </w:r>
    </w:p>
    <w:p w:rsidR="0030489A" w:rsidRDefault="0030489A">
      <w:pPr>
        <w:pStyle w:val="ConsPlusTitle"/>
        <w:jc w:val="center"/>
      </w:pPr>
      <w:r>
        <w:t>НА ТЕРРИТОРИИ СВЕРДЛОВСКОЙ ОБЛАСТИ, НА ТЕХНИЧЕСКОЕ ОСНАЩЕНИЕ</w:t>
      </w:r>
    </w:p>
    <w:p w:rsidR="0030489A" w:rsidRDefault="0030489A">
      <w:pPr>
        <w:pStyle w:val="ConsPlusTitle"/>
        <w:jc w:val="center"/>
      </w:pPr>
      <w:r>
        <w:t>МУНИЦИПАЛЬНЫХ МУЗЕЕВ</w:t>
      </w:r>
    </w:p>
    <w:p w:rsidR="0030489A" w:rsidRDefault="003048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48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9A" w:rsidRDefault="003048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9A" w:rsidRDefault="003048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9A" w:rsidRDefault="003048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489A" w:rsidRDefault="003048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30489A" w:rsidRDefault="0030489A">
            <w:pPr>
              <w:pStyle w:val="ConsPlusNormal"/>
              <w:jc w:val="center"/>
            </w:pPr>
            <w:r>
              <w:rPr>
                <w:color w:val="392C69"/>
              </w:rPr>
              <w:t>от 24.03.2022 N 188-ПП;</w:t>
            </w:r>
          </w:p>
          <w:p w:rsidR="0030489A" w:rsidRDefault="0030489A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30489A" w:rsidRDefault="0030489A">
            <w:pPr>
              <w:pStyle w:val="ConsPlusNormal"/>
              <w:jc w:val="center"/>
            </w:pPr>
            <w:r>
              <w:rPr>
                <w:color w:val="392C69"/>
              </w:rPr>
              <w:t>от 06.10.2022 N 672-ПП)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9A" w:rsidRDefault="0030489A">
            <w:pPr>
              <w:pStyle w:val="ConsPlusNormal"/>
            </w:pPr>
          </w:p>
        </w:tc>
      </w:tr>
    </w:tbl>
    <w:p w:rsidR="0030489A" w:rsidRDefault="0030489A">
      <w:pPr>
        <w:pStyle w:val="ConsPlusNormal"/>
      </w:pPr>
    </w:p>
    <w:p w:rsidR="0030489A" w:rsidRDefault="0030489A">
      <w:pPr>
        <w:pStyle w:val="ConsPlusNormal"/>
        <w:ind w:firstLine="540"/>
        <w:jc w:val="both"/>
      </w:pPr>
      <w:r>
        <w:t>1. Настоящий порядок разработан в целях обеспечения реализации мероприятий государственной программы Свердловской области "Развитие культуры в Свердловской области до 2027 года" в части предоставления субсидий из областного бюджета бюджетам муниципальных образований, расположенных на территории Свердловской области (далее - муниципальные образования), на реализацию мероприятий по техническому оснащению муниципальных музеев (далее - субсидия).</w:t>
      </w:r>
    </w:p>
    <w:p w:rsidR="0030489A" w:rsidRDefault="0030489A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06.10.2022 N 672-ПП)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0" w:name="P18"/>
      <w:bookmarkEnd w:id="0"/>
      <w:r>
        <w:t xml:space="preserve">2. Настоящий порядок регламентирует процедуру проведения конкурсного отбора муниципальных образований и условия предоставления субсидий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возникающих при выполнении полномочий органов местного самоуправления муниципальных образований по развитию сети организаций культуры, а также по созданию условий для организации досуга и обеспечению населения услугами организаций культуры в части технического оснащения муниципальных музеев для модернизации и укрепления материально-технической и фондовой базы муниципальных музеев на территории Свердловской области.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3. Предоставление субсидий осуществляется за счет средств областного бюджета в пределах лимитов бюджетных обязательств на цель, указанную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4. Главным распорядителем средств областного бюджета, предусмотренных для предоставления субсидий, является Министерство культуры Свердловской области (далее - Министерство).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5. 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ниже 50%, не превышает 90% необходимого объема средств для исполнения расходного обязательства муниципального образования, направленного на цель, указанную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расходного обязательства муниципального образования, имеющего уровень бюджетной обеспеченности до выравнивания бюджетной обеспеченности более 50%, не превышает 80% необходимого объема средств для исполнения расходного обязательства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6. Условиями предоставления субсидий являются: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1) наличие у муниципального образования утвержденной муниципальной программы, предусматривающей мероприятие по техническому оснащению муниципальных музеев, при реализации которой возникает расходное обязательство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субсидия;</w:t>
      </w:r>
    </w:p>
    <w:p w:rsidR="0030489A" w:rsidRDefault="003048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048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9A" w:rsidRDefault="003048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9A" w:rsidRDefault="003048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0489A" w:rsidRDefault="0030489A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2 п. 6 </w:t>
            </w:r>
            <w:hyperlink r:id="rId7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31.12.2022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489A" w:rsidRDefault="0030489A">
            <w:pPr>
              <w:pStyle w:val="ConsPlusNormal"/>
            </w:pPr>
          </w:p>
        </w:tc>
      </w:tr>
    </w:tbl>
    <w:p w:rsidR="0030489A" w:rsidRDefault="0030489A">
      <w:pPr>
        <w:pStyle w:val="ConsPlusNormal"/>
        <w:spacing w:before="260"/>
        <w:ind w:firstLine="540"/>
        <w:jc w:val="both"/>
      </w:pPr>
      <w:r>
        <w:t xml:space="preserve">2) наличие в бюджете муниципального образования бюджетных ассигнований на исполнение </w:t>
      </w:r>
      <w:r>
        <w:lastRenderedPageBreak/>
        <w:t xml:space="preserve">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включающем размер планируемой к предоставлению из областного бюджета субсидии.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7. Получателями субсидий являются муниципальные образования, которые прошли конкурсный отбор в соответствии с </w:t>
      </w:r>
      <w:hyperlink w:anchor="P149">
        <w:r>
          <w:rPr>
            <w:color w:val="0000FF"/>
          </w:rPr>
          <w:t>критериями</w:t>
        </w:r>
      </w:hyperlink>
      <w:r>
        <w:t xml:space="preserve"> конкурсного отбора на получение субсидий из областного бюджета бюджетам муниципальных образований, расположенных на территории Свердловской области, на техническое оснащение муниципальных музеев, указанными в приложении к настоящему порядку (далее - критерии конкурсного отбора).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8.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9. Конкурсная комиссия формируется в количестве не менее 9 человек, включая ответственного секретаря конкурсной комиссии. Членами конкурсной комиссии могут быть сотрудники Министерства, государственных учреждений культуры Свердловской области, в отношении которых Министерство исполняет функции и полномочия учредителя, являющихся методическими центрами (либо имеющих в своей структуре методические центры) в сфере музейной деятельности, ученые, работники сферы культуры и искусства.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В состав конкурсной комиссии не могут входить представитель муниципального образования, на территории которого осуществляет деятельность муниципальный музей, включенный в заявку на участие в конкурсном отборе (далее - заявка), и представитель этого муниципального музея.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Председателем конкурсной комиссии является Министр культуры Свердловской области или лицо, его замещающее.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10. Субсидии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Проведение конкурсного отбора осуществляется в текущем финансовом году для предоставления субсидий в очередном финансовом году.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11. Решение о проведении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принятия приказа Министерства.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В течение 2 рабочих дней со дня принятия приказа Министерства в информационно-телекоммуникационной сети "Интернет" на официальном сайте Министерства (www.mkso.ru) (далее - официальный сайт Министерства) ответственный секретарь конкурсной комиссии размещает: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1) приказ Министерства;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2) форму заявки, утвержденную приказом Министерства;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3) настоящий порядок;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4) извещение о проведении конкурсного отбора.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1" w:name="P40"/>
      <w:bookmarkEnd w:id="1"/>
      <w:r>
        <w:t>12. Извещение о проведении конкурсного отбора должно содержать следующие сведения: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1) наименование и адрес Министерства;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2) наименование государственной программы Свердловской области, в рамках реализации которой бюджетам муниципальных образований предоставляются субсидии на цель, указанную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3) дату начала приема заявок и дату окончания приема заявок, место приема заявок;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4) контактную информацию, в том числе телефон ответственного секретаря конкурсной комиссии.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2" w:name="P45"/>
      <w:bookmarkEnd w:id="2"/>
      <w:r>
        <w:t>13. Для участия в конкурсном отборе муниципальное образование направляет в Министерство заявку по форме, утвержденной приказом Министерства.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lastRenderedPageBreak/>
        <w:t>Заявка подается на бумажном и электронном носителях,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14. Муниципальное образование имеет право представить на конкурсный отбор заявки на муниципальные музеи как юридические лица и на структурные подразделения муниципального музея или муниципального учреждения культуры, которые осуществляют деятельность на территории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3" w:name="P48"/>
      <w:bookmarkEnd w:id="3"/>
      <w:r>
        <w:t>15. К заявке прилагаются: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1) информационно-аналитическая справка, составленная в соответствии с критериями конкурсного отбора, подписанная руководителем органа местного самоуправления муниципального образования и заверенная печатью органа местного самоуправления муниципального образования;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2) копия устава муниципального музея, заверенная подписью руководителя муниципального музея и печатью муниципального музея;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3) выписка из Единого государственного реестра юридических лиц, подтверждающая отсутствие ведения процедуры ликвидации в отношении муниципального музея;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4) выписка из утвержденной муниципальной программы, предусматривающей мероприятие (мероприятия), при реализации которого (которых) возникает расходное обязательство муниципального образования;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5) выписка из решения о бюджете муниципального образования (сводной бюджетной росписи бюджета муниципального образования) о наличии бюджетных ассигнований на исполнение расходного обязательства муниципального образования,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заверенная подписью руководителя органа местного самоуправления муниципального образования и печатью органа местного самоуправления муниципального образования;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6) копии документов налогового органа об отсутствии у муниципального музея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7) материалы с официального сайта органа местного самоуправления муниципального образования в информационно-телекоммуникационной сети "Интернет", подтверждающие проведение открытого голосования или конкурсного отбора, учитывающего мнение населения муниципального образования о приоритетном значении проведения мероприятий по техническому оснащению муниципальных музеев, включенных в заявку.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4" w:name="P56"/>
      <w:bookmarkEnd w:id="4"/>
      <w:r>
        <w:t xml:space="preserve">16. Документы, входящие в состав заявки, формируются в папку в последовательности, указанной в </w:t>
      </w:r>
      <w:hyperlink w:anchor="P48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В состав заявки также включается список входящих в нее документов с указанием номеров страниц, на которых расположены документы.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17. Представленные на конкурсный отбор заявки с приложенными к ним документами, удовлетворяющие требованиям, указанным в </w:t>
      </w:r>
      <w:hyperlink w:anchor="P45">
        <w:r>
          <w:rPr>
            <w:color w:val="0000FF"/>
          </w:rPr>
          <w:t>пунктах 13</w:t>
        </w:r>
      </w:hyperlink>
      <w:r>
        <w:t xml:space="preserve">, </w:t>
      </w:r>
      <w:hyperlink w:anchor="P48">
        <w:r>
          <w:rPr>
            <w:color w:val="0000FF"/>
          </w:rPr>
          <w:t>15</w:t>
        </w:r>
      </w:hyperlink>
      <w:r>
        <w:t xml:space="preserve"> и </w:t>
      </w:r>
      <w:hyperlink w:anchor="P56">
        <w:r>
          <w:rPr>
            <w:color w:val="0000FF"/>
          </w:rPr>
          <w:t>16</w:t>
        </w:r>
      </w:hyperlink>
      <w:r>
        <w:t xml:space="preserve"> настоящего порядка, регистрируются в журнале регистрации ответственным секретарем конкурсной комиссии, который является сотрудником Министерства.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</w:t>
      </w:r>
      <w:hyperlink w:anchor="P40">
        <w:r>
          <w:rPr>
            <w:color w:val="0000FF"/>
          </w:rPr>
          <w:t>пунктом 12</w:t>
        </w:r>
      </w:hyperlink>
      <w:r>
        <w:t xml:space="preserve"> настоящего порядка, или лично по месту приема заявок.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18. Принятые на конкурсный отбор документы не возвращаются.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lastRenderedPageBreak/>
        <w:t>19. Основаниями для отказа в приеме заявки являются: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1) несоответствие заявки требованиям, указанным в </w:t>
      </w:r>
      <w:hyperlink w:anchor="P45">
        <w:r>
          <w:rPr>
            <w:color w:val="0000FF"/>
          </w:rPr>
          <w:t>пунктах 13</w:t>
        </w:r>
      </w:hyperlink>
      <w:r>
        <w:t xml:space="preserve">, </w:t>
      </w:r>
      <w:hyperlink w:anchor="P48">
        <w:r>
          <w:rPr>
            <w:color w:val="0000FF"/>
          </w:rPr>
          <w:t>15</w:t>
        </w:r>
      </w:hyperlink>
      <w:r>
        <w:t xml:space="preserve"> и </w:t>
      </w:r>
      <w:hyperlink w:anchor="P56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2) запрашиваемый в заявке размер субсидии превышает объем лимитов бюджетных обязательств на цель, указанную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20. Муниципальное образование - участник конкурсного отбора может внести изменения в заявку при условии представления в Министерство до истечения установленного срока приема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21. Изменения в заявку оформляются в соответствии с требованиями, установленными для подачи заявок, с обязательным включением в текст сопроводительного письма муниципального образования слов "Внесение изменений в заявку на участие в конкурсном отборе".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22. После представления в установленном порядке изменений в заявку они становятся ее неотъемлемой частью.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5" w:name="P70"/>
      <w:bookmarkEnd w:id="5"/>
      <w:r>
        <w:t>23. Муниципальное образование вправе в любое время отозвать заявку, направив в Министерство соответствующее уведомление с обязательным включением в текст слов "Отзыв заявки на участие в конкурсном отборе", подписанное руководителем органа местного самоуправления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Заявка считается отозванной со дня получения Министерством уведомления, указанного в </w:t>
      </w:r>
      <w:hyperlink w:anchor="P70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6" w:name="P72"/>
      <w:bookmarkEnd w:id="6"/>
      <w:r>
        <w:t>24. Заявки принимаются в течение 5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В случае получения Министерством заявки по истечении установленного в </w:t>
      </w:r>
      <w:hyperlink w:anchor="P72">
        <w:r>
          <w:rPr>
            <w:color w:val="0000FF"/>
          </w:rPr>
          <w:t>части первой</w:t>
        </w:r>
      </w:hyperlink>
      <w:r>
        <w:t xml:space="preserve"> настоящего пункта срока указанная заявка не принимается и не передается для рассмотрения в конкурсную комиссию.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25. Расчет объема субсидий бюджетам муниципальных образований осуществляется по следующей методике: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1) определение размера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2) распределение субсидий между бюджетами муниципальных образований.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26. Размер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образования, прошедшего конкурсный отбор, на одну заявку определяется по формуле:</w:t>
      </w:r>
    </w:p>
    <w:p w:rsidR="0030489A" w:rsidRDefault="0030489A">
      <w:pPr>
        <w:pStyle w:val="ConsPlusNormal"/>
      </w:pPr>
    </w:p>
    <w:p w:rsidR="0030489A" w:rsidRDefault="0030489A">
      <w:pPr>
        <w:pStyle w:val="ConsPlusNormal"/>
        <w:jc w:val="center"/>
      </w:pPr>
      <w:proofErr w:type="spellStart"/>
      <w:r>
        <w:t>Соб</w:t>
      </w:r>
      <w:proofErr w:type="spellEnd"/>
      <w:r>
        <w:t xml:space="preserve"> = (</w:t>
      </w:r>
      <w:proofErr w:type="spellStart"/>
      <w:r>
        <w:t>Обс</w:t>
      </w:r>
      <w:proofErr w:type="spellEnd"/>
      <w:r>
        <w:t xml:space="preserve"> / 100) x </w:t>
      </w:r>
      <w:proofErr w:type="spellStart"/>
      <w:r>
        <w:t>Пусоф</w:t>
      </w:r>
      <w:proofErr w:type="spellEnd"/>
      <w:r>
        <w:t>, где:</w:t>
      </w:r>
    </w:p>
    <w:p w:rsidR="0030489A" w:rsidRDefault="0030489A">
      <w:pPr>
        <w:pStyle w:val="ConsPlusNormal"/>
      </w:pPr>
    </w:p>
    <w:p w:rsidR="0030489A" w:rsidRDefault="0030489A">
      <w:pPr>
        <w:pStyle w:val="ConsPlusNormal"/>
        <w:ind w:firstLine="540"/>
        <w:jc w:val="both"/>
      </w:pPr>
      <w:proofErr w:type="spellStart"/>
      <w:r>
        <w:t>Соб</w:t>
      </w:r>
      <w:proofErr w:type="spellEnd"/>
      <w:r>
        <w:t xml:space="preserve"> - размер субсидии на одну заявку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30489A" w:rsidRDefault="0030489A">
      <w:pPr>
        <w:pStyle w:val="ConsPlusNormal"/>
        <w:spacing w:before="200"/>
        <w:ind w:firstLine="540"/>
        <w:jc w:val="both"/>
      </w:pPr>
      <w:proofErr w:type="spellStart"/>
      <w:r>
        <w:t>Обс</w:t>
      </w:r>
      <w:proofErr w:type="spellEnd"/>
      <w:r>
        <w:t xml:space="preserve"> - объем средств, необходимый для финансирования расходов, указанных в заявке;</w:t>
      </w:r>
    </w:p>
    <w:p w:rsidR="0030489A" w:rsidRDefault="0030489A">
      <w:pPr>
        <w:pStyle w:val="ConsPlusNormal"/>
        <w:spacing w:before="200"/>
        <w:ind w:firstLine="540"/>
        <w:jc w:val="both"/>
      </w:pPr>
      <w:proofErr w:type="spellStart"/>
      <w:r>
        <w:t>Пусоф</w:t>
      </w:r>
      <w:proofErr w:type="spell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из областного бюджета расходных обязательств бюджета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27. Субсидии направляются на финансирование следующих расходов: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1) приобретение оборудования и технических средств, необходимых для осуществления экспозиционно-выставочной деятельности (включая доставку, погрузочно-разгрузочные работы, монтаж, а также пусконаладочные работы);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lastRenderedPageBreak/>
        <w:t>2) приобретение оборудования и технических средств, необходимых для обеспечения сохранности и хранения музейных предметов (фондовое оборудование) (включая доставку, монтаж, погрузочно-разгрузочные работы, а также пусконаладочные работы);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3) приобретение оборудования и технических средств, необходимых для обеспечения открытого хранения музейных предметов (включая доставку, монтаж, погрузочно-разгрузочные работы, а также пусконаладочные работы).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28. Распределение субсидий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Первыми в рейтинге располагаются муниципальные образования, набравшие наибольшее количество баллов.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Муниципальные образования, получившие одинаковое количество баллов, располагаются в рейтинге по дате регистрации заявок.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29. Количество получателей субсидий определяется исходя из количества муниципальных образований, набравших наибольшее количество баллов, и объема лимитов бюджетных обязательств на цель, указанную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30. Решение конкурсной комиссии оформляется протоколом заседания конкурсной комиссии, который должен содержать рейтинг муниципальных образований, список муниципальных образований - победителей конкурсного отбора, наименования муниципальных музеев, объем предоставляемой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образования. Протокол заседания конкурсной комиссии в течение 5 рабочих дней со дня принятия решения конкурсной комиссией подписывается всеми членами конкурсной комиссии.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Министерство в срок не позднее 2 рабочих дней со дня принятия приказа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31. В ходе проведения работы по отбору заявок муниципальных образований, распределению субсидий,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32.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33. Распределение субсидий между бюджетами муниципальных образований утверждается законом Свердловской области об областном бюджете на соответствующий финансовый год и плановый период.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34. В случае доведения Министерству дополнительных лимитов бюджетных обязательств на цель, указанную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порядка, средства областного бюджета предоставляются: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7" w:name="P98"/>
      <w:bookmarkEnd w:id="7"/>
      <w:r>
        <w:t>1) победителям конкурсного отбора в случае предоставления субсидии в текущем финансовом году при наличии потребности в дополнительных средствах на основании документов, включенных в заявку, в пределах доведенных дополнительных лимитов бюджетных обязательств;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2) муниципальным образованиям, следующим по рейтингу муниципальных образований после победителя (победителей) конкурсного отбора, в пределах остатка нераспределенной субсидии на основании, указанном в </w:t>
      </w:r>
      <w:hyperlink w:anchor="P98">
        <w:r>
          <w:rPr>
            <w:color w:val="0000FF"/>
          </w:rPr>
          <w:t>подпункте 1</w:t>
        </w:r>
      </w:hyperlink>
      <w:r>
        <w:t xml:space="preserve"> настоящей части.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После принятия конкурсной комиссией решения о предоставлении дополнительных средств областного бюджета бюджетам муниципальных образований Министерство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образований.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35. Срок использования субсидии органом местного самоуправления муниципального образования - до 1 декабря года, в котором предоставляются субсидии.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lastRenderedPageBreak/>
        <w:t>36. Субсидии предоставляются на основании соглашений о предоставлении субсидий (далее - соглашение), заключаемых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по типовой форме, утвержденной приказом Министерства финансов Российской Федерации.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37. Соглашения заключаются до 15 февраля года, в котором предоставляются субсидии.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38. Средства, полученные из областного бюджета в форме субсидий, подлежат зачислению в доходы бюджетов муниципальных образований по соответствующему коду бюджетной классификации.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39. Результатом использования субсидий органами местного самоуправления муниципальных образований является количество технически оснащенных муниципальных музеев.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8" w:name="P106"/>
      <w:bookmarkEnd w:id="8"/>
      <w:r>
        <w:t>40. Орган местного самоуправления муниципального образования представляет в Министерство отчеты по формам, установленным в соглашении, в форме электронного документа в системе "Электронный бюджет":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1) ежеквартальный отчет об использовании субсидии, предоставленной бюджету муниципального образования, - не позднее 10 числа месяца, следующего за отчетным кварталом;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2) итоговый отчет об использовании субсидии, предоставленной бюджету муниципального образования, - не позднее 15 января года, следующего за отчетным годом;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3) итоговый отчет о достижении значения показателя, необходимого для достижения результата использования субсидии, - не позднее 15 января года, следующего за отчетным годом.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41. Министерство в срок до 1 марта года, следующего за отчетным годом, проводит оценку эффективности использования органами местного самоуправления муниципальных образований субсидий с учетом обязательств органов местного самоуправления муниципальных образований по достижению значения показателя, необходимого для достижения результата использования субсидий, установленного в соглашениях, на основании данных в отчетах, представленных органами местного самоуправления муниципальных образований в соответствии с </w:t>
      </w:r>
      <w:hyperlink w:anchor="P106">
        <w:r>
          <w:rPr>
            <w:color w:val="0000FF"/>
          </w:rPr>
          <w:t>частью первой пункта 40</w:t>
        </w:r>
      </w:hyperlink>
      <w:r>
        <w:t xml:space="preserve"> настоящего порядка, и соблюдения уровня </w:t>
      </w:r>
      <w:proofErr w:type="spellStart"/>
      <w:r>
        <w:t>софинансирования</w:t>
      </w:r>
      <w:proofErr w:type="spellEnd"/>
      <w:r>
        <w:t xml:space="preserve">, выраженного в процентах от объема бюджетных ассигнований областного бюджета на исполнение расходных обязательств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42. В случае если органом местного самоуправления муниципального образования значение показателя, необходимого для достижения результата использования субсидии, установленное в соглашении, на дату представления итогового отчета не достигнуто, объем субсидии, подлежащий возврату в областной бюджет, рассчитывается по формуле:</w:t>
      </w:r>
    </w:p>
    <w:p w:rsidR="0030489A" w:rsidRDefault="0030489A">
      <w:pPr>
        <w:pStyle w:val="ConsPlusNormal"/>
      </w:pPr>
    </w:p>
    <w:p w:rsidR="0030489A" w:rsidRDefault="0030489A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</w:t>
      </w:r>
      <w:proofErr w:type="spellStart"/>
      <w:r>
        <w:t>Vсубсидии</w:t>
      </w:r>
      <w:proofErr w:type="spellEnd"/>
      <w:r>
        <w:t xml:space="preserve"> x (1 - T / S) x 0,1, где:</w:t>
      </w:r>
    </w:p>
    <w:p w:rsidR="0030489A" w:rsidRDefault="0030489A">
      <w:pPr>
        <w:pStyle w:val="ConsPlusNormal"/>
      </w:pPr>
    </w:p>
    <w:p w:rsidR="0030489A" w:rsidRDefault="0030489A">
      <w:pPr>
        <w:pStyle w:val="ConsPlusNormal"/>
        <w:ind w:firstLine="540"/>
        <w:jc w:val="both"/>
      </w:pPr>
      <w:proofErr w:type="spellStart"/>
      <w:r>
        <w:t>Vвозврата</w:t>
      </w:r>
      <w:proofErr w:type="spellEnd"/>
      <w:r>
        <w:t xml:space="preserve"> - объем субсидии, подлежащий возврату в областной бюджет;</w:t>
      </w:r>
    </w:p>
    <w:p w:rsidR="0030489A" w:rsidRDefault="0030489A">
      <w:pPr>
        <w:pStyle w:val="ConsPlusNormal"/>
        <w:spacing w:before="200"/>
        <w:ind w:firstLine="540"/>
        <w:jc w:val="both"/>
      </w:pPr>
      <w:proofErr w:type="spellStart"/>
      <w:r>
        <w:t>Vсубсидии</w:t>
      </w:r>
      <w:proofErr w:type="spellEnd"/>
      <w:r>
        <w:t xml:space="preserve"> - размер субсидии, предоставленной бюджету i-</w:t>
      </w:r>
      <w:proofErr w:type="spellStart"/>
      <w:r>
        <w:t>го</w:t>
      </w:r>
      <w:proofErr w:type="spellEnd"/>
      <w:r>
        <w:t xml:space="preserve"> муниципального образования в отчетном году;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T - фактически достигнутое значение показателя, необходимого для достижения результата использования субсидии, на отчетную дату;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S - значение показателя, необходимого для достижения результата использования субсидии, установленное в соглашении.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эффективности использования субсидий органами местного самоуправления муниципальных образований.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lastRenderedPageBreak/>
        <w:t xml:space="preserve">43. В случае если органом местного самоуправления муниципального образования нарушено обязательство по соблюдению уровня </w:t>
      </w:r>
      <w:proofErr w:type="spellStart"/>
      <w:r>
        <w:t>софинансирования</w:t>
      </w:r>
      <w:proofErr w:type="spellEnd"/>
      <w:r>
        <w:t xml:space="preserve">, выраженного в процентах от объема бюджетных ассигнований на исполнение расходного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субсидия, объем средств, подлежащих возврату в областной бюджет, равен объему неправомерно израсходованных средств субсидии исходя из уровня </w:t>
      </w:r>
      <w:proofErr w:type="spellStart"/>
      <w:r>
        <w:t>софинансирования</w:t>
      </w:r>
      <w:proofErr w:type="spellEnd"/>
      <w:r>
        <w:t>, установленного соглашением.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Требование о возврате средств субсидии в областной бюджет с указанием объема субсидии и сроков ее возврата направляется Министерством в орган местного самоуправления муниципального образования в течение 10 рабочих дней после проведения оценки соблюдения уровня </w:t>
      </w:r>
      <w:proofErr w:type="spellStart"/>
      <w:r>
        <w:t>софинансирования</w:t>
      </w:r>
      <w:proofErr w:type="spellEnd"/>
      <w:r>
        <w:t xml:space="preserve">, выраженного в процентах от объема бюджетных ассигнований на исполнение расходного обязательства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которого предоставляется субсидия.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44.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В целях эффективного и экономного использования средств областного бюджета при сокращении объема финансирования мероприятий, в том числе в случае экономии средств, возникшей в ходе проведения торгов, при условии отсутствия потребности в использовании средств экономии на те же цели размер субсидии из областного бюджета сокращается пропорционально объему средств, направленных на финансирование мероприятий из бюджета муниципального образования, с учетом установленного уровня </w:t>
      </w:r>
      <w:proofErr w:type="spellStart"/>
      <w:r>
        <w:t>софинансирования</w:t>
      </w:r>
      <w:proofErr w:type="spellEnd"/>
      <w:r>
        <w:t>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В случае возникновения потребности в использовании средств экономии средства могут быть направлены на цель, указанную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порядка, по письменному согласованию с Министерством.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45. Несоблюдение органом местного самоуправления муниципального образования условий предоставления субсидии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46. При расходовании средств субсидий органы местного самоуправления муниципальных образований обязаны осуществлять закупки товаров, работ, услуг для обеспечения муниципальных нужд, финансовое обеспечение которых осуществляется за счет средств субсидий,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области, утвержденным Постановлением Правительства Свердловской области от 27.12.2013 N 1665-ПП "О наделении полномочиями на определение поставщиков (подрядчиков, исполнителей)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товаров, работ, услуг для нужд Свердловской области", за исключением муниципальных заказчиков, определенных Правительством Свердловской области при расходовании средств субсидий, в случаях, если начальная (максимальная) цена контракта составляет пять миллионов рублей и более.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47. Контроль за соблюдением органом местного самоуправления муниципального образования цели, условий и порядка предоставления субсидии осуществляется Министерством.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порядка предоставления субсидии.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При выявлении Министерством нарушений органом местного самоуправления муниципального образования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30489A" w:rsidRDefault="0030489A">
      <w:pPr>
        <w:pStyle w:val="ConsPlusNormal"/>
        <w:spacing w:before="200"/>
        <w:ind w:firstLine="540"/>
        <w:jc w:val="both"/>
      </w:pPr>
      <w:bookmarkStart w:id="9" w:name="P131"/>
      <w:bookmarkEnd w:id="9"/>
      <w:r>
        <w:t>Субсидия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субсидии.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Требование о возврате средств субсидии направляется Министерством в течение 10 рабочих </w:t>
      </w:r>
      <w:r>
        <w:lastRenderedPageBreak/>
        <w:t>дней со дня выявления нарушений органом местного самоуправления муниципального образования цели, условий и порядка предоставления субсидии.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 xml:space="preserve">При невозврате субсидии в срок, указанный в </w:t>
      </w:r>
      <w:hyperlink w:anchor="P131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субсидии в судебном порядке.</w:t>
      </w:r>
    </w:p>
    <w:p w:rsidR="0030489A" w:rsidRDefault="0030489A">
      <w:pPr>
        <w:pStyle w:val="ConsPlusNormal"/>
        <w:spacing w:before="200"/>
        <w:ind w:firstLine="540"/>
        <w:jc w:val="both"/>
      </w:pPr>
      <w:r>
        <w:t>48.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цели, условий и порядка предоставления субсидии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</w:p>
    <w:p w:rsidR="0030489A" w:rsidRDefault="0030489A">
      <w:pPr>
        <w:pStyle w:val="ConsPlusNormal"/>
      </w:pPr>
      <w:bookmarkStart w:id="10" w:name="_GoBack"/>
      <w:bookmarkEnd w:id="10"/>
      <w:r>
        <w:br/>
      </w:r>
    </w:p>
    <w:p w:rsidR="000D2882" w:rsidRDefault="000D2882"/>
    <w:sectPr w:rsidR="000D2882" w:rsidSect="005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A"/>
    <w:rsid w:val="000D2882"/>
    <w:rsid w:val="0030489A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6D0F8-5711-45B7-93FD-4D742DC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8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048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9B48FCD439E2274288A5620E18C26AD4A9B4FDA6A522A7C4BD71C08B09D195004E856D76D66A63099EEFBC7B8D9AA8D65487C9AF7B831B765BD89rF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9B48FCD439E2274288A5620E18C26AD4A9B4FDA6955287D4AD71C08B09D195004E856D76D66A63099EDF2C6B8D9AA8D65487C9AF7B831B765BD89rF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9B48FCD439E2274288A5620E18C26AD4A9B4FDA68582F7E4AD71C08B09D195004E856D76D66A63099ECF3C7B8D9AA8D65487C9AF7B831B765BD89rFS7J" TargetMode="External"/><Relationship Id="rId5" Type="http://schemas.openxmlformats.org/officeDocument/2006/relationships/hyperlink" Target="consultantplus://offline/ref=4169B48FCD439E2274288A5620E18C26AD4A9B4FDA68582F7E4AD71C08B09D195004E856D76D66A63099ECF3C7B8D9AA8D65487C9AF7B831B765BD89rFS7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69B48FCD439E2274288A5620E18C26AD4A9B4FDA6955287D4AD71C08B09D195004E856D76D66A63099EDF2C7B8D9AA8D65487C9AF7B831B765BD89rFS7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3</cp:revision>
  <cp:lastPrinted>2022-12-14T09:19:00Z</cp:lastPrinted>
  <dcterms:created xsi:type="dcterms:W3CDTF">2022-12-14T09:18:00Z</dcterms:created>
  <dcterms:modified xsi:type="dcterms:W3CDTF">2022-12-16T06:29:00Z</dcterms:modified>
</cp:coreProperties>
</file>